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8AB1" w14:textId="77777777" w:rsidR="006E27FE" w:rsidRPr="006E27FE" w:rsidRDefault="006E27FE" w:rsidP="000D2C73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val="en-US" w:eastAsia="en-GB"/>
        </w:rPr>
      </w:pPr>
    </w:p>
    <w:p w14:paraId="5E4DC2A7" w14:textId="77777777" w:rsidR="006E27FE" w:rsidRPr="006E27FE" w:rsidRDefault="006E27FE" w:rsidP="000D2C73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val="en-US" w:eastAsia="en-GB"/>
        </w:rPr>
      </w:pPr>
    </w:p>
    <w:p w14:paraId="5DA39146" w14:textId="12338A4F" w:rsidR="00B965A4" w:rsidRPr="006E27FE" w:rsidRDefault="00605A3C" w:rsidP="000D2C73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</w:pPr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 </w:t>
      </w:r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9 April 2020</w:t>
      </w:r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-</w:t>
      </w:r>
      <w:r w:rsidR="00B965A4" w:rsidRPr="006E27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6A7D3D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The</w:t>
      </w:r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French Competition Authority</w:t>
      </w:r>
      <w:r w:rsidRPr="006E27F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 w:eastAsia="en-GB"/>
        </w:rPr>
        <w:t> released </w:t>
      </w:r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its preliminary ruling in </w:t>
      </w:r>
      <w:proofErr w:type="spellStart"/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favour</w:t>
      </w:r>
      <w:proofErr w:type="spellEnd"/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of publishers </w:t>
      </w:r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against Google</w:t>
      </w:r>
      <w:r w:rsidR="000D2C73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(see </w:t>
      </w:r>
      <w:hyperlink r:id="rId7" w:history="1">
        <w:r w:rsidR="000D2C73" w:rsidRPr="006E27FE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  <w:lang w:val="en-US" w:eastAsia="en-GB"/>
          </w:rPr>
          <w:t>EN</w:t>
        </w:r>
      </w:hyperlink>
      <w:r w:rsidR="000D2C73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press release).</w:t>
      </w:r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Press publishers</w:t>
      </w:r>
      <w:r w:rsidR="000D2C73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’</w:t>
      </w:r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unions and </w:t>
      </w:r>
      <w:proofErr w:type="spellStart"/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Agence</w:t>
      </w:r>
      <w:proofErr w:type="spellEnd"/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France Presse lodged a complaint</w:t>
      </w:r>
      <w:r w:rsidR="000D2C73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back</w:t>
      </w:r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in November 2019</w:t>
      </w:r>
      <w:r w:rsidR="000D2C73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, </w:t>
      </w:r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asking for urgent interim measures. The Authority </w:t>
      </w:r>
      <w:r w:rsidR="000D2C73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gave right to their claim on the ground </w:t>
      </w:r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that Google’s new terms and conditions following the introduction of the </w:t>
      </w:r>
      <w:proofErr w:type="spellStart"/>
      <w:r w:rsidR="000D2C73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neighbouring</w:t>
      </w:r>
      <w:proofErr w:type="spellEnd"/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right (</w:t>
      </w:r>
      <w:r w:rsidR="000D2C73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French </w:t>
      </w:r>
      <w:r w:rsidR="00B965A4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Copyright Law July 2019) </w:t>
      </w:r>
      <w:r w:rsidR="000D2C73"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were likely to constitute an abuse of dominant position and caused serious and immediate harm to the press sector. </w:t>
      </w:r>
      <w:bookmarkStart w:id="0" w:name="_GoBack"/>
      <w:bookmarkEnd w:id="0"/>
    </w:p>
    <w:p w14:paraId="702E3D81" w14:textId="77777777" w:rsidR="00605A3C" w:rsidRPr="006E27FE" w:rsidRDefault="00605A3C" w:rsidP="000D2C7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38FA687D" w14:textId="77777777" w:rsidR="00605A3C" w:rsidRPr="006E27FE" w:rsidRDefault="00605A3C" w:rsidP="000D2C7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The outcome: </w:t>
      </w:r>
    </w:p>
    <w:p w14:paraId="7987492A" w14:textId="77777777" w:rsidR="00605A3C" w:rsidRPr="006E27FE" w:rsidRDefault="00605A3C" w:rsidP="000D2C73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The Authority has ordered </w:t>
      </w:r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urgent interim measures</w:t>
      </w: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 to protect publishers facing a serious and imminent financial threat as a result of Google’s </w:t>
      </w:r>
      <w:proofErr w:type="spellStart"/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behaviour</w:t>
      </w:r>
      <w:proofErr w:type="spellEnd"/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560ED495" w14:textId="644E1523" w:rsidR="00605A3C" w:rsidRPr="006E27FE" w:rsidRDefault="00605A3C" w:rsidP="000D2C73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measures oblige Google to enter into genuine negotiations with publishers &amp; agencies - that are willing to </w:t>
      </w:r>
      <w:r w:rsidR="000D2C73"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–</w:t>
      </w: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0D2C73"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on </w:t>
      </w: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remuneration of </w:t>
      </w:r>
      <w:r w:rsidR="000D2C73"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re-use of </w:t>
      </w: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their content.</w:t>
      </w:r>
    </w:p>
    <w:p w14:paraId="11FE2994" w14:textId="041656ED" w:rsidR="00605A3C" w:rsidRPr="006E27FE" w:rsidRDefault="00605A3C" w:rsidP="000D2C73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During </w:t>
      </w:r>
      <w:r w:rsidR="000D2C73"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three-month </w:t>
      </w: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negotiations, Google must continue to display press content (videos, extracts, photos).</w:t>
      </w:r>
    </w:p>
    <w:p w14:paraId="5E8DD740" w14:textId="77777777" w:rsidR="00605A3C" w:rsidRPr="006E27FE" w:rsidRDefault="00605A3C" w:rsidP="000D2C73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Google must report every month to the Authority about the progress of negotiations.</w:t>
      </w:r>
    </w:p>
    <w:p w14:paraId="02878CD8" w14:textId="77777777" w:rsidR="00605A3C" w:rsidRPr="006E27FE" w:rsidRDefault="00605A3C" w:rsidP="000D2C73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The measures are valid until the publication of the decision on the merits of the case.</w:t>
      </w:r>
    </w:p>
    <w:p w14:paraId="2532DEBC" w14:textId="77777777" w:rsidR="00605A3C" w:rsidRPr="006E27FE" w:rsidRDefault="00605A3C" w:rsidP="000D2C7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2B97A8D8" w14:textId="77777777" w:rsidR="00605A3C" w:rsidRPr="006E27FE" w:rsidRDefault="00605A3C" w:rsidP="000D2C7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The grounds:</w:t>
      </w:r>
    </w:p>
    <w:p w14:paraId="74352914" w14:textId="77777777" w:rsidR="00605A3C" w:rsidRPr="006E27FE" w:rsidRDefault="00605A3C" w:rsidP="000D2C73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Potential abuse of dominant position: </w:t>
      </w: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Google may have abused its dominant position (90% for search in 2019) by proposing inequitable contractual terms;</w:t>
      </w:r>
    </w:p>
    <w:p w14:paraId="3675D077" w14:textId="77777777" w:rsidR="00605A3C" w:rsidRPr="006E27FE" w:rsidRDefault="00605A3C" w:rsidP="000D2C73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Circumvention of the law:</w:t>
      </w: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The choice not to pay for content is incompatible with the spirit and objective of the Copyright Directive. In other words, Google has over-exploited the opportunity offered by the law to freely display certain types of content;</w:t>
      </w:r>
    </w:p>
    <w:p w14:paraId="60CB23CB" w14:textId="77777777" w:rsidR="00605A3C" w:rsidRPr="006E27FE" w:rsidRDefault="00605A3C" w:rsidP="000D2C73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Discrimination: </w:t>
      </w: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applying the same terms (no remuneration) to all press publishers, regardless of their situation and content value, may constitute an abuse of dominant position.</w:t>
      </w:r>
    </w:p>
    <w:p w14:paraId="6C291648" w14:textId="77777777" w:rsidR="00605A3C" w:rsidRPr="006E27FE" w:rsidRDefault="00605A3C" w:rsidP="000D2C73">
      <w:pPr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 </w:t>
      </w:r>
    </w:p>
    <w:p w14:paraId="7F48CBCD" w14:textId="77777777" w:rsidR="00605A3C" w:rsidRPr="006E27FE" w:rsidRDefault="00605A3C" w:rsidP="000D2C7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Important procedural point:</w:t>
      </w:r>
    </w:p>
    <w:p w14:paraId="26BF7D39" w14:textId="77777777" w:rsidR="00605A3C" w:rsidRPr="006E27FE" w:rsidRDefault="00605A3C" w:rsidP="000D2C73">
      <w:pPr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Note that these measures are </w:t>
      </w:r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preliminary.</w:t>
      </w: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 They are designed to protect agencies and press publishers from consequences of a potential anti-competitive </w:t>
      </w:r>
      <w:proofErr w:type="spellStart"/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behaviour</w:t>
      </w:r>
      <w:proofErr w:type="spellEnd"/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1B33B007" w14:textId="09F520F3" w:rsidR="00605A3C" w:rsidRPr="006E27FE" w:rsidRDefault="00605A3C" w:rsidP="000D2C73">
      <w:pPr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Further investigations will be conducted by the Authority to assess whether Google has breached competition law. </w:t>
      </w:r>
      <w:proofErr w:type="gramStart"/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So</w:t>
      </w:r>
      <w:proofErr w:type="gramEnd"/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 further </w:t>
      </w:r>
      <w:r w:rsidRPr="006E27F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ruling on the substance of the case</w:t>
      </w: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is awaited. </w:t>
      </w:r>
    </w:p>
    <w:p w14:paraId="1BFDADDF" w14:textId="77777777" w:rsidR="00531E6D" w:rsidRPr="006E27FE" w:rsidRDefault="00531E6D" w:rsidP="00531E6D">
      <w:pPr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9298F8E" w14:textId="77777777" w:rsidR="00531E6D" w:rsidRPr="006E27FE" w:rsidRDefault="00337010" w:rsidP="0033701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Richard Gingras, Google's Vice Pres</w:t>
      </w:r>
      <w:r w:rsidR="00531E6D"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</w:t>
      </w: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dent for News, reacted: "Since the European copyright law came into force in France last year, we have been engaging with publishers to increase our support and investment in news". He added: "We will comply with the [competition regulator's] order while we review it and continue those negotiations."</w:t>
      </w:r>
      <w:r w:rsidR="00531E6D"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</w:p>
    <w:p w14:paraId="4F5652E0" w14:textId="3A51D1BD" w:rsidR="00605A3C" w:rsidRPr="006E27FE" w:rsidRDefault="00605A3C" w:rsidP="000D2C7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7E63D10A" w14:textId="6FE8130E" w:rsidR="00605A3C" w:rsidRPr="006E27FE" w:rsidRDefault="00605A3C" w:rsidP="000D2C7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The full decision has been published in </w:t>
      </w:r>
      <w:hyperlink r:id="rId8" w:history="1">
        <w:r w:rsidRPr="006E27FE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en-US" w:eastAsia="en-GB"/>
          </w:rPr>
          <w:t>FR</w:t>
        </w:r>
      </w:hyperlink>
      <w:r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  <w:r w:rsidR="00B965A4"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There is currently no EN version available. We have placed a request to the </w:t>
      </w:r>
      <w:r w:rsidR="006A7D3D"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Authority’s press service</w:t>
      </w:r>
      <w:r w:rsidR="00B965A4" w:rsidRPr="006E27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</w:t>
      </w:r>
    </w:p>
    <w:p w14:paraId="352FE04B" w14:textId="6CA37955" w:rsidR="000D2C73" w:rsidRPr="006E27FE" w:rsidRDefault="000D2C73" w:rsidP="000D2C7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E012F86" w14:textId="615CDAFE" w:rsidR="006E27FE" w:rsidRDefault="006E27FE" w:rsidP="000D2C7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--</w:t>
      </w:r>
    </w:p>
    <w:p w14:paraId="79093D1D" w14:textId="77777777" w:rsidR="006E27FE" w:rsidRDefault="006E27FE" w:rsidP="000D2C7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7095BAE7" w14:textId="4E890171" w:rsidR="00605A3C" w:rsidRPr="006E27FE" w:rsidRDefault="006E27FE" w:rsidP="000D2C7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For more information, contact Aurore (</w:t>
      </w:r>
      <w:hyperlink r:id="rId9" w:history="1">
        <w:r w:rsidRPr="00CC5EC6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aurore.raoux@newsmediaeurope.eu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) </w:t>
      </w:r>
    </w:p>
    <w:p w14:paraId="0AA0FCF3" w14:textId="77777777" w:rsidR="0097720B" w:rsidRPr="006E27FE" w:rsidRDefault="0097720B" w:rsidP="000D2C73">
      <w:pPr>
        <w:jc w:val="both"/>
        <w:rPr>
          <w:sz w:val="22"/>
          <w:szCs w:val="22"/>
          <w:lang w:val="en-US"/>
        </w:rPr>
      </w:pPr>
    </w:p>
    <w:sectPr w:rsidR="0097720B" w:rsidRPr="006E27FE" w:rsidSect="00A83767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1268" w14:textId="77777777" w:rsidR="00FC55EB" w:rsidRDefault="00FC55EB" w:rsidP="00337010">
      <w:r>
        <w:separator/>
      </w:r>
    </w:p>
  </w:endnote>
  <w:endnote w:type="continuationSeparator" w:id="0">
    <w:p w14:paraId="572A22B6" w14:textId="77777777" w:rsidR="00FC55EB" w:rsidRDefault="00FC55EB" w:rsidP="0033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59C6" w14:textId="77777777" w:rsidR="00337010" w:rsidRPr="005F0756" w:rsidRDefault="00337010" w:rsidP="00337010">
    <w:pPr>
      <w:pStyle w:val="Footer"/>
      <w:jc w:val="center"/>
      <w:rPr>
        <w:color w:val="7B7B7B" w:themeColor="accent3" w:themeShade="BF"/>
        <w:sz w:val="16"/>
        <w:szCs w:val="16"/>
      </w:rPr>
    </w:pPr>
    <w:r w:rsidRPr="005F0756">
      <w:rPr>
        <w:rFonts w:eastAsia="Times New Roman" w:cstheme="minorHAnsi"/>
        <w:color w:val="7B7B7B" w:themeColor="accent3" w:themeShade="BF"/>
        <w:sz w:val="16"/>
        <w:szCs w:val="16"/>
        <w:lang w:eastAsia="en-GB"/>
      </w:rPr>
      <w:t xml:space="preserve">News Media Europe </w:t>
    </w:r>
    <w:proofErr w:type="spellStart"/>
    <w:r w:rsidRPr="005F0756">
      <w:rPr>
        <w:rFonts w:eastAsia="Times New Roman" w:cstheme="minorHAnsi"/>
        <w:color w:val="7B7B7B" w:themeColor="accent3" w:themeShade="BF"/>
        <w:sz w:val="16"/>
        <w:szCs w:val="16"/>
        <w:lang w:eastAsia="en-GB"/>
      </w:rPr>
      <w:t>vzw</w:t>
    </w:r>
    <w:proofErr w:type="spellEnd"/>
    <w:r w:rsidRPr="005F0756">
      <w:rPr>
        <w:rFonts w:eastAsia="Times New Roman" w:cstheme="minorHAnsi"/>
        <w:color w:val="7B7B7B" w:themeColor="accent3" w:themeShade="BF"/>
        <w:sz w:val="16"/>
        <w:szCs w:val="16"/>
        <w:lang w:eastAsia="en-GB"/>
      </w:rPr>
      <w:t xml:space="preserve">, 25 Square de </w:t>
    </w:r>
    <w:proofErr w:type="spellStart"/>
    <w:r w:rsidRPr="005F0756">
      <w:rPr>
        <w:rFonts w:eastAsia="Times New Roman" w:cstheme="minorHAnsi"/>
        <w:color w:val="7B7B7B" w:themeColor="accent3" w:themeShade="BF"/>
        <w:sz w:val="16"/>
        <w:szCs w:val="16"/>
        <w:lang w:eastAsia="en-GB"/>
      </w:rPr>
      <w:t>Meeûs</w:t>
    </w:r>
    <w:proofErr w:type="spellEnd"/>
    <w:r w:rsidRPr="005F0756">
      <w:rPr>
        <w:rFonts w:eastAsia="Times New Roman" w:cstheme="minorHAnsi"/>
        <w:color w:val="7B7B7B" w:themeColor="accent3" w:themeShade="BF"/>
        <w:sz w:val="16"/>
        <w:szCs w:val="16"/>
        <w:lang w:eastAsia="en-GB"/>
      </w:rPr>
      <w:t> 1000 Brussels, Belgium - BE0647900810</w:t>
    </w:r>
  </w:p>
  <w:p w14:paraId="1802FD8A" w14:textId="77777777" w:rsidR="00337010" w:rsidRPr="005F0756" w:rsidRDefault="00337010" w:rsidP="00337010">
    <w:pPr>
      <w:spacing w:line="276" w:lineRule="auto"/>
      <w:jc w:val="center"/>
      <w:rPr>
        <w:rFonts w:eastAsia="Times New Roman" w:cstheme="minorHAnsi"/>
        <w:color w:val="7B7B7B" w:themeColor="accent3" w:themeShade="BF"/>
        <w:sz w:val="16"/>
        <w:szCs w:val="16"/>
        <w:lang w:eastAsia="en-GB"/>
      </w:rPr>
    </w:pPr>
    <w:r w:rsidRPr="005F0756">
      <w:rPr>
        <w:rFonts w:eastAsia="Times New Roman" w:cstheme="minorHAnsi"/>
        <w:color w:val="7B7B7B" w:themeColor="accent3" w:themeShade="BF"/>
        <w:sz w:val="16"/>
        <w:szCs w:val="16"/>
        <w:lang w:eastAsia="en-GB"/>
      </w:rPr>
      <w:t>EU Transparency Register ID: 577812220311-81</w:t>
    </w:r>
  </w:p>
  <w:p w14:paraId="41FA91DE" w14:textId="77777777" w:rsidR="00337010" w:rsidRDefault="0033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90AF" w14:textId="77777777" w:rsidR="00FC55EB" w:rsidRDefault="00FC55EB" w:rsidP="00337010">
      <w:r>
        <w:separator/>
      </w:r>
    </w:p>
  </w:footnote>
  <w:footnote w:type="continuationSeparator" w:id="0">
    <w:p w14:paraId="32FEAB63" w14:textId="77777777" w:rsidR="00FC55EB" w:rsidRDefault="00FC55EB" w:rsidP="0033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7F49" w14:textId="38B1E634" w:rsidR="00337010" w:rsidRDefault="00337010" w:rsidP="00337010">
    <w:pPr>
      <w:pStyle w:val="Header"/>
      <w:jc w:val="center"/>
    </w:pPr>
    <w:r>
      <w:rPr>
        <w:noProof/>
      </w:rPr>
      <w:drawing>
        <wp:inline distT="0" distB="0" distL="0" distR="0" wp14:anchorId="1BD930EF" wp14:editId="763704B5">
          <wp:extent cx="2719572" cy="2175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500 x 4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871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285"/>
    <w:multiLevelType w:val="multilevel"/>
    <w:tmpl w:val="56F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E068A1"/>
    <w:multiLevelType w:val="multilevel"/>
    <w:tmpl w:val="5D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EC4F44"/>
    <w:multiLevelType w:val="multilevel"/>
    <w:tmpl w:val="4FC8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C"/>
    <w:rsid w:val="000D2C73"/>
    <w:rsid w:val="001613E0"/>
    <w:rsid w:val="00337010"/>
    <w:rsid w:val="00531E6D"/>
    <w:rsid w:val="00605A3C"/>
    <w:rsid w:val="006A7D3D"/>
    <w:rsid w:val="006E27FE"/>
    <w:rsid w:val="0097720B"/>
    <w:rsid w:val="00A83767"/>
    <w:rsid w:val="00B965A4"/>
    <w:rsid w:val="00C67009"/>
    <w:rsid w:val="00D01407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704F62"/>
  <w15:chartTrackingRefBased/>
  <w15:docId w15:val="{55AA467E-62C6-D84E-B80C-3FCB8272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5A3C"/>
  </w:style>
  <w:style w:type="character" w:styleId="Hyperlink">
    <w:name w:val="Hyperlink"/>
    <w:basedOn w:val="DefaultParagraphFont"/>
    <w:uiPriority w:val="99"/>
    <w:unhideWhenUsed/>
    <w:rsid w:val="00605A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A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65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2C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7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010"/>
  </w:style>
  <w:style w:type="paragraph" w:styleId="Footer">
    <w:name w:val="footer"/>
    <w:basedOn w:val="Normal"/>
    <w:link w:val="FooterChar"/>
    <w:uiPriority w:val="99"/>
    <w:unhideWhenUsed/>
    <w:rsid w:val="00337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delaconcurrence.fr/sites/default/files/integral_texts/2020-04/20mc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toritedelaconcurrence.fr/en/press-release/neighbouring-rights-autorite-has-granted-requests-urgent-interim-measures-present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rore.raoux@newsmedia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Raoux</dc:creator>
  <cp:keywords/>
  <dc:description/>
  <cp:lastModifiedBy>Wout van Wijk</cp:lastModifiedBy>
  <cp:revision>3</cp:revision>
  <dcterms:created xsi:type="dcterms:W3CDTF">2020-04-09T18:36:00Z</dcterms:created>
  <dcterms:modified xsi:type="dcterms:W3CDTF">2020-04-09T18:37:00Z</dcterms:modified>
</cp:coreProperties>
</file>